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792C" w14:textId="77777777" w:rsidR="002227CB" w:rsidRDefault="002227CB" w:rsidP="002227CB">
      <w:r>
        <w:t>To Whom It May Concern:</w:t>
      </w:r>
    </w:p>
    <w:p w14:paraId="4EDD683F" w14:textId="77777777" w:rsidR="002227CB" w:rsidRDefault="002227CB" w:rsidP="002227CB"/>
    <w:p w14:paraId="1EF51BDF" w14:textId="2BCCC3CC" w:rsidR="002227CB" w:rsidRDefault="002227CB" w:rsidP="002227CB">
      <w:r>
        <w:t>I’m sympathetic to the goal of increasing the opportunities for camping, but</w:t>
      </w:r>
      <w:r w:rsidRPr="002227CB">
        <w:t xml:space="preserve"> </w:t>
      </w:r>
      <w:r w:rsidR="000D1602">
        <w:t xml:space="preserve">the bill </w:t>
      </w:r>
      <w:r>
        <w:t xml:space="preserve">allowing so-called “Low-impact camping areas” </w:t>
      </w:r>
      <w:r w:rsidR="000D1602">
        <w:t xml:space="preserve">(AB-518) </w:t>
      </w:r>
      <w:r>
        <w:t>is grossly deficient. Please do not pass this bill until the following deficiencies are corrected:</w:t>
      </w:r>
    </w:p>
    <w:p w14:paraId="3C3AEB77" w14:textId="77777777" w:rsidR="002227CB" w:rsidRDefault="002227CB" w:rsidP="002227CB"/>
    <w:p w14:paraId="3B680993" w14:textId="1D43F238" w:rsidR="002227CB" w:rsidRDefault="002227CB" w:rsidP="002227CB">
      <w:r>
        <w:t>Fire hazard—</w:t>
      </w:r>
      <w:r w:rsidRPr="00845A78">
        <w:t xml:space="preserve"> </w:t>
      </w:r>
      <w:r w:rsidR="000D692B">
        <w:t xml:space="preserve">As detailed in the Rural Bonny Doon report on LICAs </w:t>
      </w:r>
      <w:r w:rsidR="000D1602" w:rsidRPr="000312BC">
        <w:t>(</w:t>
      </w:r>
      <w:hyperlink r:id="rId4" w:history="1">
        <w:r w:rsidR="005C15DB">
          <w:rPr>
            <w:rStyle w:val="Hyperlink"/>
            <w:rFonts w:ascii="Helvetica" w:hAnsi="Helvetica"/>
            <w:sz w:val="21"/>
            <w:szCs w:val="21"/>
          </w:rPr>
          <w:t>https://rbda.us/wp-content/uploads/2025/02/RBDA-report-on-Foreseeable-LICA-impacts.pdf</w:t>
        </w:r>
      </w:hyperlink>
      <w:r w:rsidR="005C15DB">
        <w:t>)</w:t>
      </w:r>
      <w:r w:rsidR="000D692B">
        <w:t>, r</w:t>
      </w:r>
      <w:r>
        <w:t>ecreation is the single largest cause of wildfires in California (Scientific American, 12/1/23)</w:t>
      </w:r>
      <w:r w:rsidR="000D692B">
        <w:t>. C</w:t>
      </w:r>
      <w:r>
        <w:t>ampgrounds should be prohibited on properties mapped by Cal Fire as “high fire hazard” or “very high fire hazard”</w:t>
      </w:r>
      <w:r w:rsidR="000D692B">
        <w:t xml:space="preserve"> and in neighborhoods where private insurance companies are denying insurance coverage</w:t>
      </w:r>
      <w:r>
        <w:t>. Campgrounds should be required to have the same water storage for fire-fighting as local residences. Fire safety should take priority over maximizing the number of campgrounds.</w:t>
      </w:r>
    </w:p>
    <w:p w14:paraId="214421F9" w14:textId="77777777" w:rsidR="002227CB" w:rsidRDefault="002227CB" w:rsidP="002227CB"/>
    <w:p w14:paraId="4DD81191" w14:textId="1645A9F5" w:rsidR="002227CB" w:rsidRDefault="002227CB" w:rsidP="002227CB">
      <w:r>
        <w:t xml:space="preserve">Generators—The ordinance must all prohibit generators use. Generators are a nuisance to neighbors, a fire hazard, and are counter to the objective of a natural camping experience. They are prohibited on the 47 permitted commercial cannabis cultivation sites in Santa Cruz County (except for emergency use), and they should be prohibited on </w:t>
      </w:r>
      <w:r w:rsidR="000D692B">
        <w:t>all</w:t>
      </w:r>
      <w:r>
        <w:t xml:space="preserve"> LICAs.</w:t>
      </w:r>
    </w:p>
    <w:p w14:paraId="7526C5C8" w14:textId="77777777" w:rsidR="002227CB" w:rsidRDefault="002227CB" w:rsidP="002227CB"/>
    <w:p w14:paraId="3BB3C40A" w14:textId="05F28A8D" w:rsidR="000D692B" w:rsidRDefault="002227CB" w:rsidP="002227CB">
      <w:r>
        <w:t xml:space="preserve">Set-backs and noise—Campgrounds must be set back far enough from neighboring </w:t>
      </w:r>
      <w:r w:rsidR="000D1602">
        <w:t>residences</w:t>
      </w:r>
      <w:r>
        <w:t xml:space="preserve"> that neighbors can enjoy quiet without having to retreat indoors. The bill’s specified setback of 200 ft is unacceptably close. If generators are </w:t>
      </w:r>
      <w:r w:rsidR="000D692B">
        <w:t>allowed</w:t>
      </w:r>
      <w:r>
        <w:t>, the setback should be a minimum 1000 ft</w:t>
      </w:r>
      <w:r w:rsidR="000D1602">
        <w:t xml:space="preserve"> from residences</w:t>
      </w:r>
      <w:r>
        <w:t xml:space="preserve">. If generators are prohibited, the setback </w:t>
      </w:r>
      <w:r w:rsidR="0073415E">
        <w:t>sh</w:t>
      </w:r>
      <w:r>
        <w:t xml:space="preserve">ould be 500 ft. </w:t>
      </w:r>
      <w:r w:rsidR="000D692B">
        <w:t>AB-518 requires that quiet hours be enforced from 10:00PM to 6:00A</w:t>
      </w:r>
      <w:r w:rsidR="00C87EAC">
        <w:t>M</w:t>
      </w:r>
      <w:r w:rsidR="0073415E">
        <w:t xml:space="preserve">. The bill must </w:t>
      </w:r>
      <w:r w:rsidR="000D692B">
        <w:t>specify who is responsible for enforcement and funding for enforcement.</w:t>
      </w:r>
    </w:p>
    <w:p w14:paraId="2D5C8126" w14:textId="77777777" w:rsidR="00C87EAC" w:rsidRDefault="00C87EAC" w:rsidP="002227CB"/>
    <w:p w14:paraId="57A7A787" w14:textId="730523C8" w:rsidR="00C87EAC" w:rsidRDefault="00C87EAC" w:rsidP="002227CB">
      <w:r>
        <w:t xml:space="preserve">Building codes and sanitation—AB-518 fails to recognize the extreme sanitation and building code violations that are common on LICAs. Although LICAs are not yet legal, many are already advertised on </w:t>
      </w:r>
      <w:proofErr w:type="spellStart"/>
      <w:r>
        <w:t>Hipcamp</w:t>
      </w:r>
      <w:proofErr w:type="spellEnd"/>
      <w:r>
        <w:t>. The RBDA report (</w:t>
      </w:r>
      <w:hyperlink r:id="rId5" w:history="1">
        <w:r w:rsidR="005C15DB">
          <w:rPr>
            <w:rStyle w:val="Hyperlink"/>
            <w:rFonts w:ascii="Helvetica" w:hAnsi="Helvetica"/>
            <w:sz w:val="21"/>
            <w:szCs w:val="21"/>
          </w:rPr>
          <w:t>https://rbda.us/wp-content/uploads/2025/02/RBDA-report-on-Foreseeable-LICA-impacts.pdf</w:t>
        </w:r>
      </w:hyperlink>
      <w:r>
        <w:t>)</w:t>
      </w:r>
      <w:r w:rsidR="00FB372F">
        <w:t xml:space="preserve"> illustrates a sampling of non-compliant facilities advertised in Santa Cruz County, including pit toilets, dangling propane heaters, stovepipes protruding from tents, showers draining onto the ground. AB-518 must specify how campgrounds with these unsafe facilities will be shut down immediately.</w:t>
      </w:r>
    </w:p>
    <w:p w14:paraId="714A855B" w14:textId="48F37818" w:rsidR="002227CB" w:rsidRDefault="000D692B" w:rsidP="002227CB">
      <w:r>
        <w:t xml:space="preserve"> </w:t>
      </w:r>
    </w:p>
    <w:p w14:paraId="52EADEAE" w14:textId="79C448E3" w:rsidR="002227CB" w:rsidRDefault="002227CB" w:rsidP="002227CB">
      <w:r>
        <w:t>Protection of wildlife—</w:t>
      </w:r>
      <w:r w:rsidRPr="00746BDF">
        <w:t>LICA</w:t>
      </w:r>
      <w:r>
        <w:t>s</w:t>
      </w:r>
      <w:r w:rsidRPr="00746BDF">
        <w:t xml:space="preserve"> </w:t>
      </w:r>
      <w:r>
        <w:t>should be excluded</w:t>
      </w:r>
      <w:r w:rsidRPr="00746BDF">
        <w:t xml:space="preserve"> </w:t>
      </w:r>
      <w:r>
        <w:t>from</w:t>
      </w:r>
      <w:r w:rsidRPr="00746BDF">
        <w:t xml:space="preserve"> habitat for protected species identified as candidate, sensitive, or species of special status by State or federal agencies</w:t>
      </w:r>
      <w:r>
        <w:t xml:space="preserve">. Similarly, The Nature Conservancy and Sempervirens have mapped lands that they consider priorities for conservation. Campgrounds should be prohibited in these areas. </w:t>
      </w:r>
    </w:p>
    <w:p w14:paraId="333D8867" w14:textId="77777777" w:rsidR="002227CB" w:rsidRDefault="002227CB" w:rsidP="002227CB"/>
    <w:p w14:paraId="5AA6B454" w14:textId="51973D4C" w:rsidR="002227CB" w:rsidRDefault="0073415E" w:rsidP="002227CB">
      <w:r>
        <w:t>Pilot program</w:t>
      </w:r>
      <w:r w:rsidR="002227CB">
        <w:t xml:space="preserve"> for farm stays—Many of the problems with the proposed ordinances could be removed if LICAs were excluded from properties in high fire hazard areas in residential </w:t>
      </w:r>
      <w:r w:rsidR="002227CB">
        <w:lastRenderedPageBreak/>
        <w:t>neighborhoods. Why not start a pilot program for farm stays on Agricultural lands outside of hazardous fire areas</w:t>
      </w:r>
      <w:r>
        <w:t xml:space="preserve"> and </w:t>
      </w:r>
      <w:r w:rsidR="0036141B">
        <w:t>outside of</w:t>
      </w:r>
      <w:r>
        <w:t xml:space="preserve"> residential areas</w:t>
      </w:r>
      <w:r w:rsidR="002227CB">
        <w:t>?</w:t>
      </w:r>
    </w:p>
    <w:p w14:paraId="4860DD59" w14:textId="77777777" w:rsidR="002227CB" w:rsidRDefault="002227CB" w:rsidP="002227CB"/>
    <w:p w14:paraId="3CBF11B6" w14:textId="46F93A50" w:rsidR="002227CB" w:rsidRDefault="002227CB" w:rsidP="002227CB">
      <w:r>
        <w:t xml:space="preserve">Please reject </w:t>
      </w:r>
      <w:r w:rsidR="0073415E">
        <w:t>AB-518</w:t>
      </w:r>
      <w:r>
        <w:t xml:space="preserve"> unless the deficiencies cited above are corrected.</w:t>
      </w:r>
    </w:p>
    <w:p w14:paraId="09173E46" w14:textId="77777777" w:rsidR="002227CB" w:rsidRDefault="002227CB" w:rsidP="002227CB"/>
    <w:p w14:paraId="5BBCBE06" w14:textId="77777777" w:rsidR="002227CB" w:rsidRDefault="002227CB" w:rsidP="002227CB">
      <w:r>
        <w:t>Sincerely,</w:t>
      </w:r>
    </w:p>
    <w:p w14:paraId="504A5686" w14:textId="77777777" w:rsidR="00832A05" w:rsidRDefault="00832A05" w:rsidP="002227CB"/>
    <w:p w14:paraId="7E78C29C" w14:textId="77777777" w:rsidR="00DE17B5" w:rsidRDefault="00DE17B5"/>
    <w:sectPr w:rsidR="00DE17B5" w:rsidSect="00D03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CB"/>
    <w:rsid w:val="000312BC"/>
    <w:rsid w:val="000D1602"/>
    <w:rsid w:val="000D692B"/>
    <w:rsid w:val="000F39D1"/>
    <w:rsid w:val="002227CB"/>
    <w:rsid w:val="0036141B"/>
    <w:rsid w:val="005C15DB"/>
    <w:rsid w:val="0073415E"/>
    <w:rsid w:val="007747C3"/>
    <w:rsid w:val="00802D0D"/>
    <w:rsid w:val="00832651"/>
    <w:rsid w:val="00832A05"/>
    <w:rsid w:val="00A164F5"/>
    <w:rsid w:val="00C87EAC"/>
    <w:rsid w:val="00D03354"/>
    <w:rsid w:val="00DE17B5"/>
    <w:rsid w:val="00E04A79"/>
    <w:rsid w:val="00FB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95E97"/>
  <w15:chartTrackingRefBased/>
  <w15:docId w15:val="{079E53BE-89AE-C44E-AD6E-E0EE3BE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7C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27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7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7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7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7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7C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7C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7C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7C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7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7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7C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7CB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7CB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7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C1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bda.us/wp-content/uploads/2025/02/RBDA-report-on-Foreseeable-LICA-impacts.pdf" TargetMode="External"/><Relationship Id="rId4" Type="http://schemas.openxmlformats.org/officeDocument/2006/relationships/hyperlink" Target="https://rbda.us/wp-content/uploads/2025/02/RBDA-report-on-Foreseeable-LICA-impac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rubin</dc:creator>
  <cp:keywords/>
  <dc:description/>
  <cp:lastModifiedBy>Ruby Lipsenthal</cp:lastModifiedBy>
  <cp:revision>7</cp:revision>
  <dcterms:created xsi:type="dcterms:W3CDTF">2025-02-27T05:53:00Z</dcterms:created>
  <dcterms:modified xsi:type="dcterms:W3CDTF">2025-03-01T00:16:00Z</dcterms:modified>
</cp:coreProperties>
</file>